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333333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333333"/>
          <w:spacing w:val="0"/>
          <w:position w:val="0"/>
          <w:sz w:val="29"/>
          <w:shd w:fill="auto" w:val="clear"/>
        </w:rPr>
        <w:t xml:space="preserve">Технические характеристики: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Станки модели 7212 предназначены для обработки методом строгания или фрезерования различных поверхностей корпусных и базовых деталей, других изделий из чугуна, стали и сплавов цветных металлов в условиях единичного и мелкосерийного производства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Наибольшие размеры обрабатываемых деталей: мм</w:t>
        <w:br/>
        <w:br/>
        <w:t xml:space="preserve">* ширина 1000</w:t>
        <w:br/>
        <w:t xml:space="preserve">* высота 900</w:t>
        <w:br/>
        <w:br/>
        <w:t xml:space="preserve">Расстояние между стойками мм. 1000</w:t>
        <w:br/>
        <w:t xml:space="preserve">Наибольшее расстояние между поверхностью стола и поперечиной мм. 1500</w:t>
        <w:br/>
        <w:t xml:space="preserve">Размеры рабочей поверхности стола мм 1120 х 4000</w:t>
        <w:br/>
        <w:t xml:space="preserve">Наибольшая длина хода мм. 3200</w:t>
        <w:br/>
        <w:t xml:space="preserve">Наибольшая длина перемещения ползунов мм. 300</w:t>
        <w:br/>
        <w:t xml:space="preserve">Угол поворота суппортов град +/- 60</w:t>
        <w:br/>
        <w:br/>
        <w:t xml:space="preserve">Скорость рабочего хода стола М/мм</w:t>
        <w:br/>
        <w:br/>
        <w:t xml:space="preserve">* первый диапазон 6 </w:t>
      </w: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–</w:t>
      </w: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 90</w:t>
        <w:br/>
        <w:t xml:space="preserve">* </w:t>
      </w: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второй диапазон 4 - 60</w:t>
        <w:br/>
        <w:br/>
        <w:t xml:space="preserve">Скорость обратного хода стола М/мм</w:t>
        <w:br/>
        <w:br/>
        <w:t xml:space="preserve">* первый диапазон 20 </w:t>
      </w: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–</w:t>
      </w: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 90</w:t>
        <w:br/>
        <w:t xml:space="preserve">* </w:t>
      </w: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второй диапазон 12 - 60</w:t>
        <w:br/>
        <w:br/>
        <w:t xml:space="preserve">Горизонтальные подачи суппортов поперечины на один двойной ход стола мм 0,5 - 25</w:t>
        <w:br/>
        <w:t xml:space="preserve">Горизонтальные и вертикальные подачи бокового суппорта и вертикальные подачи суппортов поперечины на один двойной ход стола мм 0,25 </w:t>
      </w: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–</w:t>
      </w: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 12,5</w:t>
        <w:br/>
      </w: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Наибольшее тяговое усилие на рейке стола кг 7000</w:t>
        <w:br/>
        <w:br/>
        <w:t xml:space="preserve">Питающая электросеть: Гц, в</w:t>
        <w:br/>
        <w:br/>
        <w:t xml:space="preserve">- род тока Переменный трехфазный</w:t>
        <w:br/>
        <w:t xml:space="preserve">- частота 50</w:t>
        <w:br/>
        <w:t xml:space="preserve">- напряжение 380</w:t>
        <w:br/>
        <w:br/>
        <w:t xml:space="preserve">Габарит станка мм</w:t>
        <w:br/>
        <w:br/>
        <w:t xml:space="preserve">- длина 7950</w:t>
        <w:br/>
        <w:t xml:space="preserve">- ширина 3700</w:t>
        <w:br/>
        <w:t xml:space="preserve">- высота 3550</w:t>
        <w:br/>
        <w:br/>
        <w:t xml:space="preserve">Вес станка с электрооборудованием кг. 27500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